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6E1F4" w14:textId="78E5DD40" w:rsidR="00362517" w:rsidRDefault="00FD3428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r>
        <w:rPr>
          <w:rFonts w:ascii="Arial" w:eastAsia="MS Mincho" w:hAnsi="Arial" w:cs="Arial"/>
          <w:b/>
          <w:bCs/>
          <w:sz w:val="22"/>
          <w:lang w:val="en-GB"/>
        </w:rPr>
        <w:t>3GPP TSG-RAN WG2 Meeting #125bis</w:t>
      </w:r>
      <w:r>
        <w:rPr>
          <w:rFonts w:ascii="Arial" w:eastAsia="MS Mincho" w:hAnsi="Arial" w:cs="Arial"/>
          <w:b/>
          <w:bCs/>
          <w:sz w:val="22"/>
          <w:lang w:val="en-GB"/>
        </w:rPr>
        <w:tab/>
      </w:r>
      <w:r>
        <w:rPr>
          <w:rFonts w:ascii="Arial" w:eastAsia="MS Mincho" w:hAnsi="Arial" w:cs="Arial"/>
          <w:b/>
          <w:bCs/>
          <w:sz w:val="22"/>
        </w:rPr>
        <w:t>R2-2402331</w:t>
      </w:r>
    </w:p>
    <w:p w14:paraId="78B708C2" w14:textId="77777777" w:rsidR="00362517" w:rsidRDefault="00FD3428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bCs/>
          <w:sz w:val="22"/>
          <w:lang w:val="en-GB"/>
        </w:rPr>
        <w:t>Changsha, China, April 15</w:t>
      </w:r>
      <w:r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eastAsia="MS Mincho" w:hAnsi="Arial" w:cs="Arial"/>
          <w:b/>
          <w:bCs/>
          <w:sz w:val="22"/>
          <w:lang w:val="en-GB"/>
        </w:rPr>
        <w:t xml:space="preserve"> – April 19</w:t>
      </w:r>
      <w:r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eastAsia="MS Mincho" w:hAnsi="Arial" w:cs="Arial"/>
          <w:b/>
          <w:bCs/>
          <w:sz w:val="22"/>
          <w:lang w:val="en-GB"/>
        </w:rPr>
        <w:t>, 2024</w:t>
      </w:r>
    </w:p>
    <w:p w14:paraId="20D7E062" w14:textId="77777777" w:rsidR="00362517" w:rsidRDefault="00FD3428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4C7C447" w14:textId="77777777" w:rsidR="00362517" w:rsidRDefault="00FD3428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4EC1A5DE" w14:textId="77777777" w:rsidR="00362517" w:rsidRDefault="00FD3428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  <w:t>Discussion on SL-U and SL-CA co-existence with SL-PRS transmission and A2X communication</w:t>
      </w:r>
    </w:p>
    <w:p w14:paraId="760519D3" w14:textId="77777777" w:rsidR="00362517" w:rsidRDefault="00FD3428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  <w:t>7.0.5</w:t>
      </w:r>
    </w:p>
    <w:p w14:paraId="3CBCAE3C" w14:textId="77777777" w:rsidR="00362517" w:rsidRDefault="00FD3428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2D7513EE" w14:textId="77777777" w:rsidR="00362517" w:rsidRDefault="00FD3428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F8A6D05" w14:textId="77777777" w:rsidR="00362517" w:rsidRDefault="00FD3428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During RAN2#125 meeting, an issue about whether SL-U and SL-CA can be co-existed with SL-PRS transmission and A2X communication is arisen in session on LTE V2X and NR SL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begin"/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instrText xml:space="preserve"> REF _Ref162256215 \n \h </w:instrTex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separate"/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[1]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end"/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7C8557AB" w14:textId="77777777" w:rsidR="00362517" w:rsidRDefault="00FD3428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 this paper, we conduct the discussion</w:t>
      </w:r>
      <w:bookmarkStart w:id="5" w:name="_Hlk162355548"/>
      <w:bookmarkStart w:id="6" w:name="_Hlk161928446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on the possibility of these two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sidelink</w:t>
      </w:r>
      <w:proofErr w:type="spellEnd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transmission schemes applying to the newly introduced types of transmission over PC5 </w:t>
      </w:r>
      <w:r>
        <w:rPr>
          <w:rFonts w:ascii="Times New Roman" w:hAnsi="Times New Roman" w:cs="Times New Roman"/>
          <w:kern w:val="0"/>
          <w:sz w:val="20"/>
          <w:szCs w:val="20"/>
        </w:rPr>
        <w:t>reference point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respectively.</w:t>
      </w:r>
    </w:p>
    <w:bookmarkEnd w:id="5"/>
    <w:bookmarkEnd w:id="6"/>
    <w:p w14:paraId="228128E5" w14:textId="77777777" w:rsidR="00362517" w:rsidRDefault="00FD3428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GB"/>
        </w:rPr>
        <w:t>Discussion</w:t>
      </w:r>
    </w:p>
    <w:p w14:paraId="500A90B6" w14:textId="77777777" w:rsidR="00362517" w:rsidRDefault="00FD3428">
      <w:pPr>
        <w:pStyle w:val="2"/>
        <w:numPr>
          <w:ilvl w:val="1"/>
          <w:numId w:val="3"/>
        </w:numPr>
        <w:spacing w:before="0"/>
        <w:ind w:left="567" w:hanging="567"/>
        <w:jc w:val="both"/>
        <w:rPr>
          <w:b w:val="0"/>
          <w:sz w:val="28"/>
          <w:lang w:val="en-US"/>
        </w:rPr>
      </w:pPr>
      <w:bookmarkStart w:id="7" w:name="_Hlk162451653"/>
      <w:bookmarkStart w:id="8" w:name="OLE_LINK3"/>
      <w:r>
        <w:rPr>
          <w:b w:val="0"/>
          <w:sz w:val="28"/>
          <w:lang w:val="en-US"/>
        </w:rPr>
        <w:t>SL-U and SL-CA co-existence with SL-PRS transmission</w:t>
      </w:r>
      <w:bookmarkEnd w:id="7"/>
    </w:p>
    <w:bookmarkEnd w:id="8"/>
    <w:p w14:paraId="405E86CF" w14:textId="77777777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SL-PRS is a kind of reference signal defined over PC5 reference point to facilitate Ranging/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sidelink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positioning 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>
        <w:rPr>
          <w:rFonts w:ascii="Times New Roman" w:hAnsi="Times New Roman" w:cs="Times New Roman"/>
          <w:kern w:val="0"/>
          <w:sz w:val="20"/>
          <w:szCs w:val="20"/>
        </w:rPr>
        <w:instrText xml:space="preserve"> REF _Ref162429757 \r \h </w:instrText>
      </w:r>
      <w:r>
        <w:rPr>
          <w:rFonts w:ascii="Times New Roman" w:hAnsi="Times New Roman" w:cs="Times New Roman"/>
          <w:kern w:val="0"/>
          <w:sz w:val="20"/>
          <w:szCs w:val="20"/>
        </w:rPr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>
        <w:rPr>
          <w:rFonts w:ascii="Times New Roman" w:hAnsi="Times New Roman" w:cs="Times New Roman"/>
          <w:kern w:val="0"/>
          <w:sz w:val="20"/>
          <w:szCs w:val="20"/>
        </w:rPr>
        <w:t>[2]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0566943C" w14:textId="77777777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According to WID of R18 Expanded and Improved NR Positioning 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>
        <w:rPr>
          <w:rFonts w:ascii="Times New Roman" w:hAnsi="Times New Roman" w:cs="Times New Roman"/>
          <w:kern w:val="0"/>
          <w:sz w:val="20"/>
          <w:szCs w:val="20"/>
        </w:rPr>
        <w:instrText xml:space="preserve"> REF _Ref162429745 \r \h </w:instrText>
      </w:r>
      <w:r>
        <w:rPr>
          <w:rFonts w:ascii="Times New Roman" w:hAnsi="Times New Roman" w:cs="Times New Roman"/>
          <w:kern w:val="0"/>
          <w:sz w:val="20"/>
          <w:szCs w:val="20"/>
        </w:rPr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>
        <w:rPr>
          <w:rFonts w:ascii="Times New Roman" w:hAnsi="Times New Roman" w:cs="Times New Roman"/>
          <w:kern w:val="0"/>
          <w:sz w:val="20"/>
          <w:szCs w:val="20"/>
        </w:rPr>
        <w:t>[3]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SL-PRS is originally designed on the licensed band, thus there is no SL-PRS transmission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scheme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and resource allocation scheme on unlicensed band from the scope of RAN1.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62517" w14:paraId="5E5D3D49" w14:textId="77777777">
        <w:tc>
          <w:tcPr>
            <w:tcW w:w="8296" w:type="dxa"/>
          </w:tcPr>
          <w:p w14:paraId="4B517DE4" w14:textId="77777777" w:rsidR="00362517" w:rsidRDefault="00FD3428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Specify SL PRS for support of 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sidelink</w:t>
            </w:r>
            <w:proofErr w:type="spellEnd"/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1057613B" w14:textId="77777777" w:rsidR="00362517" w:rsidRDefault="00FD3428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support for SL PRS bandwidths of up to 100 MHz in FR1 spectrum.</w:t>
            </w:r>
          </w:p>
          <w:p w14:paraId="0339E044" w14:textId="77777777" w:rsidR="00362517" w:rsidRDefault="00FD3428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NOTE: SL PRS transmission in FR2 is not precluded but no FR2 specific aspects will be specified. </w:t>
            </w:r>
          </w:p>
        </w:tc>
      </w:tr>
    </w:tbl>
    <w:p w14:paraId="3A04F649" w14:textId="16499AF3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Therefore,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it is not feasible </w:t>
      </w:r>
      <w:r>
        <w:rPr>
          <w:rFonts w:ascii="Times New Roman" w:hAnsi="Times New Roman" w:cs="Times New Roman"/>
          <w:kern w:val="0"/>
          <w:sz w:val="20"/>
          <w:szCs w:val="20"/>
        </w:rPr>
        <w:t>to support SL-PRS transmission with SL-U feature in terms of physical layer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in this release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6B69140D" w14:textId="77777777" w:rsidR="00362517" w:rsidRDefault="00FD3428">
      <w:pPr>
        <w:widowControl/>
        <w:spacing w:after="180"/>
        <w:rPr>
          <w:rFonts w:ascii="Arial" w:eastAsia="宋体" w:hAnsi="Arial" w:cs="Arial"/>
          <w:b/>
          <w:bCs/>
          <w:kern w:val="0"/>
          <w:sz w:val="20"/>
          <w:szCs w:val="20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O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bservation 1: SL-PRS is designed on licensed band by RAN1, with no operation with shared spectrum channel access.</w:t>
      </w:r>
    </w:p>
    <w:p w14:paraId="39332624" w14:textId="08D68853" w:rsidR="00362517" w:rsidRDefault="00FD3428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1: </w:t>
      </w:r>
      <w:bookmarkStart w:id="9" w:name="_Hlk162447134"/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SL-PRS transmission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with SL-U operation is NOT supported</w:t>
      </w:r>
      <w:bookmarkEnd w:id="9"/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</w:t>
      </w:r>
    </w:p>
    <w:p w14:paraId="7A4B10CF" w14:textId="77777777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hAnsi="Times New Roman" w:cs="Times New Roman"/>
          <w:kern w:val="0"/>
          <w:sz w:val="20"/>
          <w:szCs w:val="20"/>
        </w:rPr>
        <w:t>s for the application of SL-CA to SL-PRS transmission, RAN1#116 meeting has already noticed such issue, and has concluded with a working assumption to support SL-PRS to be transmitted/received in a single carrier when multiple carriers are configured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>
        <w:rPr>
          <w:rFonts w:ascii="Times New Roman" w:hAnsi="Times New Roman" w:cs="Times New Roman"/>
          <w:kern w:val="0"/>
          <w:sz w:val="20"/>
          <w:szCs w:val="20"/>
        </w:rPr>
        <w:instrText xml:space="preserve"> REF _Ref162431652 \r \h </w:instrText>
      </w:r>
      <w:r>
        <w:rPr>
          <w:rFonts w:ascii="Times New Roman" w:hAnsi="Times New Roman" w:cs="Times New Roman"/>
          <w:kern w:val="0"/>
          <w:sz w:val="20"/>
          <w:szCs w:val="20"/>
        </w:rPr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>
        <w:rPr>
          <w:rFonts w:ascii="Times New Roman" w:hAnsi="Times New Roman" w:cs="Times New Roman"/>
          <w:kern w:val="0"/>
          <w:sz w:val="20"/>
          <w:szCs w:val="20"/>
        </w:rPr>
        <w:t>[4]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. That is, there can be resource pools allowed for </w:t>
      </w: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>SL-PRS to be configured in multiple carriers, but SL-PRS can only be transmitted in one carrier at one time instance.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62517" w14:paraId="05DF5A04" w14:textId="77777777">
        <w:tc>
          <w:tcPr>
            <w:tcW w:w="8296" w:type="dxa"/>
          </w:tcPr>
          <w:p w14:paraId="2CD0DE52" w14:textId="77777777" w:rsidR="00362517" w:rsidRDefault="00FD3428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kern w:val="0"/>
                <w:sz w:val="20"/>
                <w:szCs w:val="24"/>
                <w:highlight w:val="darkYellow"/>
                <w:lang w:val="en-GB"/>
              </w:rPr>
              <w:t>Working assumption</w:t>
            </w:r>
          </w:p>
          <w:p w14:paraId="63EDB2D9" w14:textId="77777777" w:rsidR="00362517" w:rsidRDefault="00FD3428">
            <w:pPr>
              <w:widowControl/>
              <w:spacing w:after="160" w:line="259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  <w:t xml:space="preserve">In NR Rel-18, 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 xml:space="preserve">in a band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>(pre)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>configured with SL CA,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 xml:space="preserve"> SL PRS transmission /reception can be supported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>:</w:t>
            </w:r>
          </w:p>
          <w:p w14:paraId="30F31E7A" w14:textId="77777777" w:rsidR="00362517" w:rsidRDefault="00FD3428">
            <w:pPr>
              <w:widowControl/>
              <w:numPr>
                <w:ilvl w:val="0"/>
                <w:numId w:val="5"/>
              </w:numPr>
              <w:spacing w:after="160" w:line="252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>In a shared SL PRS resource pool in a single SL carrier.</w:t>
            </w:r>
          </w:p>
          <w:p w14:paraId="79E4FA85" w14:textId="77777777" w:rsidR="00362517" w:rsidRDefault="00FD3428">
            <w:pPr>
              <w:widowControl/>
              <w:numPr>
                <w:ilvl w:val="1"/>
                <w:numId w:val="5"/>
              </w:numPr>
              <w:spacing w:after="160" w:line="252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>Tx power control follows the rule defined for SL CA in NR Rel-18</w:t>
            </w:r>
          </w:p>
          <w:p w14:paraId="606BB61A" w14:textId="77777777" w:rsidR="00362517" w:rsidRDefault="00FD3428">
            <w:pPr>
              <w:widowControl/>
              <w:numPr>
                <w:ilvl w:val="0"/>
                <w:numId w:val="5"/>
              </w:numPr>
              <w:spacing w:after="160" w:line="252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  <w:p w14:paraId="1F35F1F8" w14:textId="77777777" w:rsidR="00362517" w:rsidRDefault="00FD3428">
            <w:pPr>
              <w:widowControl/>
              <w:numPr>
                <w:ilvl w:val="0"/>
                <w:numId w:val="5"/>
              </w:numPr>
              <w:spacing w:after="160" w:line="252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>FFS: new UE capability(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>ies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 xml:space="preserve">)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>are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 xml:space="preserve"> defined for this combination of features</w:t>
            </w:r>
          </w:p>
          <w:p w14:paraId="7390677F" w14:textId="77777777" w:rsidR="00362517" w:rsidRDefault="00FD3428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  <w:t>Note: whether this combination of features is supported in Rel-18 requires a conclusion on whether to introduce new UE capability(</w:t>
            </w:r>
            <w:proofErr w:type="spellStart"/>
            <w: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  <w:t>ies</w:t>
            </w:r>
            <w:proofErr w:type="spellEnd"/>
            <w: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  <w:t>). No specification work until the FFS is resolved.</w:t>
            </w:r>
          </w:p>
        </w:tc>
      </w:tr>
    </w:tbl>
    <w:p w14:paraId="648D0E10" w14:textId="77777777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kern w:val="0"/>
          <w:sz w:val="20"/>
          <w:szCs w:val="20"/>
        </w:rPr>
        <w:t>ince SL-PRS transmission intrinsically is a kind of reference signal at physical layer, whose transmission and reception requires RAN1 evaluation on power and other considerations; and carrier aggregation is a kind of physical transmission schemes to enhance reliability, it is better to leave the decision to RAN1 on whether SL-PRS can be transmitted in multiple carriers concurrently.</w:t>
      </w:r>
    </w:p>
    <w:p w14:paraId="12616803" w14:textId="77777777" w:rsidR="00362517" w:rsidRDefault="00FD3428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Observation 3: RAN1 came to WA that </w:t>
      </w:r>
      <w:bookmarkStart w:id="10" w:name="_Hlk162433471"/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SL-PRS transmission</w:t>
      </w:r>
      <w:bookmarkEnd w:id="10"/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on multiple carriers can be supported in a TDM manner, but not to apply carrier aggregation scheme.</w:t>
      </w:r>
    </w:p>
    <w:p w14:paraId="3DDFF9A8" w14:textId="4122AD34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Once RAN1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reaches </w:t>
      </w:r>
      <w:r>
        <w:rPr>
          <w:rFonts w:ascii="Times New Roman" w:hAnsi="Times New Roman" w:cs="Times New Roman"/>
          <w:kern w:val="0"/>
          <w:sz w:val="20"/>
          <w:szCs w:val="20"/>
        </w:rPr>
        <w:t>agreement on this WA and defines the new UE capability regarding the feature combination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(if any)</w:t>
      </w:r>
      <w:r>
        <w:rPr>
          <w:rFonts w:ascii="Times New Roman" w:hAnsi="Times New Roman" w:cs="Times New Roman"/>
          <w:kern w:val="0"/>
          <w:sz w:val="20"/>
          <w:szCs w:val="20"/>
        </w:rPr>
        <w:t>, RAN2 may further check whether/how to capture it in the stage 3 specification.</w:t>
      </w:r>
    </w:p>
    <w:p w14:paraId="54796F35" w14:textId="621A5718" w:rsidR="00362517" w:rsidRDefault="00FD3428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2: Wait for RAN1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 xml:space="preserve">progress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on whether/how to define the support </w:t>
      </w:r>
      <w:r w:rsidR="0059469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for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 w:rsidR="0059469A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combination of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both SL-CA and SL-PRS.</w:t>
      </w:r>
    </w:p>
    <w:p w14:paraId="51AC218A" w14:textId="77777777" w:rsidR="00362517" w:rsidRDefault="00FD3428">
      <w:pPr>
        <w:pStyle w:val="2"/>
        <w:numPr>
          <w:ilvl w:val="1"/>
          <w:numId w:val="3"/>
        </w:numPr>
        <w:spacing w:before="0"/>
        <w:ind w:left="567" w:hanging="567"/>
        <w:jc w:val="both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SL-U and SL-CA co-existence with A2X communication</w:t>
      </w:r>
    </w:p>
    <w:p w14:paraId="538F8A71" w14:textId="77777777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A2X communication employed by aerial UE supports Aircraft-to-Everything (A2X) services leveraging PC5 reference point, which is mainly for the purpose of BRID and DAA messages broadcasting via PC5-U using resource allocation mode 2. That is, using resources selected by UE autonomously, BRID and DAA messages are transmitted as user plane data. In terms of the upper layer design, a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ccor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ding to SA2 Specification 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>
        <w:rPr>
          <w:rFonts w:ascii="Times New Roman" w:hAnsi="Times New Roman" w:cs="Times New Roman"/>
          <w:kern w:val="0"/>
          <w:sz w:val="20"/>
          <w:szCs w:val="20"/>
        </w:rPr>
        <w:instrText xml:space="preserve"> REF _Ref162443971 \r \h  \* MERGEFORMAT </w:instrText>
      </w:r>
      <w:r>
        <w:rPr>
          <w:rFonts w:ascii="Times New Roman" w:hAnsi="Times New Roman" w:cs="Times New Roman"/>
          <w:kern w:val="0"/>
          <w:sz w:val="20"/>
          <w:szCs w:val="20"/>
        </w:rPr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>
        <w:rPr>
          <w:rFonts w:ascii="Times New Roman" w:hAnsi="Times New Roman" w:cs="Times New Roman"/>
          <w:kern w:val="0"/>
          <w:sz w:val="20"/>
          <w:szCs w:val="20"/>
        </w:rPr>
        <w:t>[6]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authorization and provisioning for A2X communications of UE is fully leverages V2X mechanisms. From our perspective, we believe there is little difference from the legacy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sidelink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communication in the transport scheme at the lower layer.</w:t>
      </w:r>
    </w:p>
    <w:p w14:paraId="44BEECB0" w14:textId="77777777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However,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W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of NR Support for UAV (Uncrewed Aerial Vehicles) 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>
        <w:rPr>
          <w:rFonts w:ascii="Times New Roman" w:hAnsi="Times New Roman" w:cs="Times New Roman"/>
          <w:kern w:val="0"/>
          <w:sz w:val="20"/>
          <w:szCs w:val="20"/>
        </w:rPr>
        <w:instrText xml:space="preserve"> REF _Ref162434438 \r \h  \* MERGEFORMAT </w:instrText>
      </w:r>
      <w:r>
        <w:rPr>
          <w:rFonts w:ascii="Times New Roman" w:hAnsi="Times New Roman" w:cs="Times New Roman"/>
          <w:kern w:val="0"/>
          <w:sz w:val="20"/>
          <w:szCs w:val="20"/>
        </w:rPr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>
        <w:rPr>
          <w:rFonts w:ascii="Times New Roman" w:hAnsi="Times New Roman" w:cs="Times New Roman"/>
          <w:kern w:val="0"/>
          <w:sz w:val="20"/>
          <w:szCs w:val="20"/>
        </w:rPr>
        <w:t>[5]</w:t>
      </w:r>
      <w:r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states that A2X communication can only take place in designated bands in regulation for BRID/DAA use.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62517" w14:paraId="4DDB3B44" w14:textId="77777777">
        <w:tc>
          <w:tcPr>
            <w:tcW w:w="8296" w:type="dxa"/>
          </w:tcPr>
          <w:p w14:paraId="6B8AFB65" w14:textId="278C1BA5" w:rsidR="00362517" w:rsidRDefault="00FD342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  <w:lang w:eastAsia="fi-FI"/>
              </w:rPr>
            </w:pPr>
            <w:r>
              <w:rPr>
                <w:rFonts w:ascii="Times New Roman" w:hAnsi="Times New Roman" w:cs="Times New Roman"/>
                <w:iCs/>
                <w:kern w:val="0"/>
                <w:sz w:val="20"/>
                <w:szCs w:val="20"/>
                <w:lang w:eastAsia="en-GB"/>
              </w:rPr>
              <w:t xml:space="preserve">3. </w:t>
            </w:r>
            <w:bookmarkStart w:id="11" w:name="_Hlk129273301"/>
            <w:r>
              <w:rPr>
                <w:rFonts w:ascii="Times New Roman" w:hAnsi="Times New Roman" w:cs="Times New Roman"/>
                <w:iCs/>
                <w:kern w:val="0"/>
                <w:sz w:val="20"/>
                <w:szCs w:val="20"/>
                <w:lang w:eastAsia="en-GB"/>
              </w:rPr>
              <w:t>Specify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fi-FI"/>
              </w:rPr>
              <w:t xml:space="preserve"> the support for UAV identification broadcast (BRID) in NR PC5. Support of DAA using the same framework as BRID without DAA specific enhancements can be considered [RAN2]. Note: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eastAsia="fi-FI"/>
              </w:rPr>
              <w:t xml:space="preserve">UAV use of NR PC5 is to be used only in </w:t>
            </w:r>
            <w:bookmarkStart w:id="12" w:name="_Hlk130294308"/>
            <w:bookmarkStart w:id="13" w:name="_Hlk162434550"/>
            <w:r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eastAsia="fi-FI"/>
              </w:rPr>
              <w:t>designated bands as defined in regulation</w:t>
            </w:r>
            <w:bookmarkEnd w:id="12"/>
            <w:r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eastAsia="fi-FI"/>
              </w:rPr>
              <w:t xml:space="preserve"> for BRID/DAA use</w:t>
            </w:r>
            <w:bookmarkEnd w:id="13"/>
            <w:r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eastAsia="fi-FI"/>
              </w:rPr>
              <w:t>.</w:t>
            </w:r>
            <w:bookmarkEnd w:id="11"/>
          </w:p>
        </w:tc>
      </w:tr>
    </w:tbl>
    <w:p w14:paraId="6E7D76FE" w14:textId="446315AB" w:rsidR="00362517" w:rsidRDefault="00FD3428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lastRenderedPageBreak/>
        <w:t>Observation 4: A2X communication over PC5-U is transmitted in designated bands regulated for BRID/DAA use, which</w:t>
      </w:r>
      <w:r w:rsidR="00F33F0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can be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ensured by the upper layer service identifier to frequency mapping rules.</w:t>
      </w:r>
    </w:p>
    <w:p w14:paraId="6E2EDBC8" w14:textId="209A815E" w:rsidR="00362517" w:rsidRDefault="00FD3428" w:rsidP="00CA1E21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ased on the above discussion, since A2X communication </w:t>
      </w:r>
      <w:r w:rsidR="00CA1E21">
        <w:rPr>
          <w:rFonts w:ascii="Times New Roman" w:hAnsi="Times New Roman" w:cs="Times New Roman"/>
          <w:kern w:val="0"/>
          <w:sz w:val="20"/>
          <w:szCs w:val="20"/>
        </w:rPr>
        <w:t>can only be mapped into licensed band under the regulator from the service layer, there is no intersection in the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A1E21">
        <w:rPr>
          <w:rFonts w:ascii="Times New Roman" w:hAnsi="Times New Roman" w:cs="Times New Roman"/>
          <w:kern w:val="0"/>
          <w:sz w:val="20"/>
          <w:szCs w:val="20"/>
        </w:rPr>
        <w:t>frequency domain to realize transport of BRID/DAA in the unlicensed band.</w:t>
      </w:r>
    </w:p>
    <w:p w14:paraId="16B26B9D" w14:textId="122EEB5D" w:rsidR="00362517" w:rsidRDefault="00FD3428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Observation 5: </w:t>
      </w:r>
      <w:r w:rsidR="001F22C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</w:t>
      </w:r>
      <w:r w:rsidR="001F22C0"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here is no </w:t>
      </w:r>
      <w:r w:rsidR="001F22C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such</w:t>
      </w:r>
      <w:r w:rsidR="001F22C0"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 case </w:t>
      </w:r>
      <w:r w:rsidR="001F22C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that</w:t>
      </w:r>
      <w:r w:rsidR="001F22C0"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 A2X </w:t>
      </w:r>
      <w:r w:rsidR="001F22C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communication </w:t>
      </w:r>
      <w:r w:rsidR="001F22C0"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service </w:t>
      </w:r>
      <w:r w:rsidR="0028614C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is</w:t>
      </w:r>
      <w:r w:rsidR="001F22C0"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 mapped into </w:t>
      </w:r>
      <w:r w:rsidR="001F22C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</w:t>
      </w:r>
      <w:r w:rsidR="001F22C0"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SL-U frequency carrier</w:t>
      </w:r>
      <w:r w:rsidR="001F22C0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in terms of service level.</w:t>
      </w:r>
    </w:p>
    <w:p w14:paraId="0D4C7A3D" w14:textId="4EA7216B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roposal 3: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 xml:space="preserve"> </w:t>
      </w:r>
      <w:r w:rsidR="003C6C0E">
        <w:rPr>
          <w:rFonts w:ascii="Arial" w:eastAsia="宋体" w:hAnsi="Arial" w:cs="Arial"/>
          <w:b/>
          <w:bCs/>
          <w:kern w:val="0"/>
          <w:sz w:val="20"/>
          <w:szCs w:val="20"/>
        </w:rPr>
        <w:t>A2X communication</w:t>
      </w:r>
      <w:r w:rsidR="003C6C0E" w:rsidRPr="003C6C0E">
        <w:rPr>
          <w:rFonts w:ascii="Arial" w:eastAsia="宋体" w:hAnsi="Arial" w:cs="Arial"/>
          <w:b/>
          <w:bCs/>
          <w:kern w:val="0"/>
          <w:sz w:val="20"/>
          <w:szCs w:val="20"/>
        </w:rPr>
        <w:t xml:space="preserve"> </w:t>
      </w:r>
      <w:r w:rsidR="003C6C0E" w:rsidRPr="003C6C0E">
        <w:rPr>
          <w:rFonts w:ascii="Arial" w:eastAsia="宋体" w:hAnsi="Arial" w:cs="Arial" w:hint="eastAsia"/>
          <w:b/>
          <w:bCs/>
          <w:kern w:val="0"/>
          <w:sz w:val="20"/>
          <w:szCs w:val="20"/>
        </w:rPr>
        <w:t>with SL-U operation is NOT supported</w:t>
      </w:r>
      <w:r w:rsidR="003C6C0E" w:rsidRPr="003C6C0E">
        <w:rPr>
          <w:rFonts w:ascii="Arial" w:eastAsia="宋体" w:hAnsi="Arial" w:cs="Arial"/>
          <w:b/>
          <w:bCs/>
          <w:kern w:val="0"/>
          <w:sz w:val="20"/>
          <w:szCs w:val="20"/>
        </w:rPr>
        <w:t>.</w:t>
      </w:r>
    </w:p>
    <w:p w14:paraId="49FA339A" w14:textId="26D5C37E" w:rsidR="00362517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W</w:t>
      </w:r>
      <w:r>
        <w:rPr>
          <w:rFonts w:ascii="Times New Roman" w:hAnsi="Times New Roman" w:cs="Times New Roman"/>
          <w:kern w:val="0"/>
          <w:sz w:val="20"/>
          <w:szCs w:val="20"/>
        </w:rPr>
        <w:t>hen it comes to SL-CA, the similar understanding can be reused</w:t>
      </w:r>
      <w:r w:rsidR="00CA1E21">
        <w:rPr>
          <w:rFonts w:ascii="Times New Roman" w:hAnsi="Times New Roman" w:cs="Times New Roman"/>
          <w:kern w:val="0"/>
          <w:sz w:val="20"/>
          <w:szCs w:val="20"/>
        </w:rPr>
        <w:t>, i.e., the dependency is up to the upper layer configuration (i.e.</w:t>
      </w:r>
      <w:r w:rsidR="00D54069">
        <w:rPr>
          <w:rFonts w:ascii="Times New Roman" w:hAnsi="Times New Roman" w:cs="Times New Roman"/>
          <w:kern w:val="0"/>
          <w:sz w:val="20"/>
          <w:szCs w:val="20"/>
        </w:rPr>
        <w:t>,</w:t>
      </w:r>
      <w:r w:rsidR="00CA1E21">
        <w:rPr>
          <w:rFonts w:ascii="Times New Roman" w:hAnsi="Times New Roman" w:cs="Times New Roman"/>
          <w:kern w:val="0"/>
          <w:sz w:val="20"/>
          <w:szCs w:val="20"/>
        </w:rPr>
        <w:t xml:space="preserve"> A2X service identifier to A2X NR frequency mapping rules)</w:t>
      </w:r>
      <w:r w:rsidR="00CA1E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the AS configuration (i.e.</w:t>
      </w:r>
      <w:r w:rsidR="00D54069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CA1E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frequency in the unlicensed band allowed by the serving cell).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Firstly, A2X service resembles V2X service which requires high reliability, which is just the purpose to introduce SL-CA applicable for resource allocation mode 2. A2X is supported for mode-2 UE as well. Logically, since BRID/DAA is a type of broadcast service data belonging to a new service type, which is in exploit of the same lower layer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sidelink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transmission scheme with introduction of dedicated A2X resource pools.</w:t>
      </w:r>
    </w:p>
    <w:p w14:paraId="5A475702" w14:textId="1CAB89D1" w:rsidR="00CA1E21" w:rsidRPr="00CA1E21" w:rsidRDefault="00FD342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owever, SL-CA can only be applied when the A2X layer provides service to multiple carrier frequencies mapping, and these frequencies are the allowed ones </w:t>
      </w:r>
      <w:r w:rsidR="00CA1E21">
        <w:rPr>
          <w:rFonts w:ascii="Times New Roman" w:hAnsi="Times New Roman" w:cs="Times New Roman"/>
          <w:kern w:val="0"/>
          <w:sz w:val="20"/>
          <w:szCs w:val="20"/>
        </w:rPr>
        <w:t xml:space="preserve">for </w:t>
      </w:r>
      <w:proofErr w:type="spellStart"/>
      <w:r w:rsidR="00CA1E21">
        <w:rPr>
          <w:rFonts w:ascii="Times New Roman" w:hAnsi="Times New Roman" w:cs="Times New Roman"/>
          <w:kern w:val="0"/>
          <w:sz w:val="20"/>
          <w:szCs w:val="20"/>
        </w:rPr>
        <w:t>sidelink</w:t>
      </w:r>
      <w:proofErr w:type="spellEnd"/>
      <w:r w:rsidR="00CA1E21">
        <w:rPr>
          <w:rFonts w:ascii="Times New Roman" w:hAnsi="Times New Roman" w:cs="Times New Roman"/>
          <w:kern w:val="0"/>
          <w:sz w:val="20"/>
          <w:szCs w:val="20"/>
        </w:rPr>
        <w:t xml:space="preserve"> data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by the serving cell </w:t>
      </w:r>
      <w:r w:rsidR="00CA1E21">
        <w:rPr>
          <w:rFonts w:ascii="Times New Roman" w:hAnsi="Times New Roman" w:cs="Times New Roman"/>
          <w:kern w:val="0"/>
          <w:sz w:val="20"/>
          <w:szCs w:val="20"/>
        </w:rPr>
        <w:t>of the aerial UE</w:t>
      </w:r>
      <w:r>
        <w:rPr>
          <w:rFonts w:ascii="Times New Roman" w:hAnsi="Times New Roman" w:cs="Times New Roman"/>
          <w:kern w:val="0"/>
          <w:sz w:val="20"/>
          <w:szCs w:val="20"/>
        </w:rPr>
        <w:t>, which also provides resource pool configurations for A2X services.</w:t>
      </w:r>
    </w:p>
    <w:p w14:paraId="262E9850" w14:textId="77777777" w:rsidR="00362517" w:rsidRDefault="00FD3428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Observation 6: When the serving cell provides resource pool configurations for A2X services on several extended carriers, SL-CA for A2X communication is functional on condition that from A2X service can be mapped into these SL-CA carrier frequencies.</w:t>
      </w:r>
    </w:p>
    <w:p w14:paraId="64960EC0" w14:textId="4AF186D5" w:rsidR="00362517" w:rsidRDefault="00CA1E21">
      <w:pPr>
        <w:widowControl/>
        <w:spacing w:after="180"/>
        <w:rPr>
          <w:rFonts w:ascii="Arial" w:eastAsia="宋体" w:hAnsi="Arial" w:cs="Arial"/>
          <w:b/>
          <w:bCs/>
          <w:kern w:val="0"/>
          <w:sz w:val="20"/>
          <w:szCs w:val="20"/>
        </w:rPr>
      </w:pPr>
      <w:r w:rsidRPr="00D80E3B">
        <w:rPr>
          <w:rFonts w:ascii="Times New Roman" w:hAnsi="Times New Roman" w:cs="Times New Roman"/>
          <w:kern w:val="0"/>
          <w:sz w:val="20"/>
          <w:szCs w:val="20"/>
        </w:rPr>
        <w:t xml:space="preserve">According to </w:t>
      </w:r>
      <w:r w:rsidR="004278F8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Pr="00D80E3B">
        <w:rPr>
          <w:rFonts w:ascii="Times New Roman" w:hAnsi="Times New Roman" w:cs="Times New Roman"/>
          <w:kern w:val="0"/>
          <w:sz w:val="20"/>
          <w:szCs w:val="20"/>
        </w:rPr>
        <w:t>above analysis, the fe</w:t>
      </w:r>
      <w:r w:rsidR="00D80E3B" w:rsidRPr="00D80E3B">
        <w:rPr>
          <w:rFonts w:ascii="Times New Roman" w:hAnsi="Times New Roman" w:cs="Times New Roman"/>
          <w:kern w:val="0"/>
          <w:sz w:val="20"/>
          <w:szCs w:val="20"/>
        </w:rPr>
        <w:t xml:space="preserve">asible AS transmission as it is, </w:t>
      </w:r>
      <w:r w:rsidR="00D80E3B">
        <w:rPr>
          <w:rFonts w:ascii="Times New Roman" w:hAnsi="Times New Roman" w:cs="Times New Roman"/>
          <w:kern w:val="0"/>
          <w:sz w:val="20"/>
          <w:szCs w:val="20"/>
        </w:rPr>
        <w:t xml:space="preserve">BRID/DAA broadcast with SL-CA operation </w:t>
      </w:r>
      <w:r w:rsidR="00F45B29">
        <w:rPr>
          <w:rFonts w:ascii="Times New Roman" w:hAnsi="Times New Roman" w:cs="Times New Roman"/>
          <w:kern w:val="0"/>
          <w:sz w:val="20"/>
          <w:szCs w:val="20"/>
        </w:rPr>
        <w:t xml:space="preserve">is </w:t>
      </w:r>
      <w:r w:rsidR="004278F8">
        <w:rPr>
          <w:rFonts w:ascii="Times New Roman" w:hAnsi="Times New Roman" w:cs="Times New Roman"/>
          <w:kern w:val="0"/>
          <w:sz w:val="20"/>
          <w:szCs w:val="20"/>
        </w:rPr>
        <w:t xml:space="preserve">only </w:t>
      </w:r>
      <w:r w:rsidR="00F45B29">
        <w:rPr>
          <w:rFonts w:ascii="Times New Roman" w:hAnsi="Times New Roman" w:cs="Times New Roman"/>
          <w:kern w:val="0"/>
          <w:sz w:val="20"/>
          <w:szCs w:val="20"/>
        </w:rPr>
        <w:t>tenable on the basis of service requirement. That is, A2X communication has the requirements on throughput and reliability for such BRID/DAA service.</w:t>
      </w:r>
      <w:r w:rsidR="00F45B29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F45B29">
        <w:rPr>
          <w:rFonts w:ascii="Times New Roman" w:hAnsi="Times New Roman" w:cs="Times New Roman"/>
          <w:kern w:val="0"/>
          <w:sz w:val="20"/>
          <w:szCs w:val="20"/>
        </w:rPr>
        <w:t xml:space="preserve">If yes, </w:t>
      </w:r>
      <w:r w:rsidR="00FF66F5">
        <w:rPr>
          <w:rFonts w:ascii="Times New Roman" w:hAnsi="Times New Roman" w:cs="Times New Roman"/>
          <w:kern w:val="0"/>
          <w:sz w:val="20"/>
          <w:szCs w:val="20"/>
        </w:rPr>
        <w:t>it would be significant to support carrier aggregation for A2X.</w:t>
      </w:r>
      <w:r w:rsidR="00F176FB">
        <w:rPr>
          <w:rFonts w:ascii="Times New Roman" w:hAnsi="Times New Roman" w:cs="Times New Roman"/>
          <w:kern w:val="0"/>
          <w:sz w:val="20"/>
          <w:szCs w:val="20"/>
        </w:rPr>
        <w:t xml:space="preserve"> Therefore, the feasibility still requires SA2’s evaluation.</w:t>
      </w:r>
    </w:p>
    <w:p w14:paraId="6BC0C5D9" w14:textId="77777777" w:rsidR="00362517" w:rsidRDefault="00FD3428">
      <w:pPr>
        <w:widowControl/>
        <w:spacing w:after="180"/>
        <w:rPr>
          <w:rFonts w:ascii="Arial" w:eastAsia="宋体" w:hAnsi="Arial" w:cs="Arial"/>
          <w:b/>
          <w:bCs/>
          <w:kern w:val="0"/>
          <w:sz w:val="20"/>
          <w:szCs w:val="20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4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From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RAN2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perspective,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 xml:space="preserve">it is feasible to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support SL-CA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 xml:space="preserve">operation for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A2X communication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to improve transmission performance e.g., throughput and reliability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 Send LS to SA2 on the necessity.</w:t>
      </w:r>
    </w:p>
    <w:p w14:paraId="1E8C5DC9" w14:textId="77777777" w:rsidR="00362517" w:rsidRDefault="00FD3428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GB"/>
        </w:rPr>
        <w:t>Conclusion</w:t>
      </w:r>
    </w:p>
    <w:p w14:paraId="09F69B6D" w14:textId="77777777" w:rsidR="00362517" w:rsidRDefault="00FD3428">
      <w:pPr>
        <w:widowControl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In summary, we make the following observations and proposals on whether SL-U and SL-CA can be co-existed with SL-PRS transmission and A2X communication:</w:t>
      </w:r>
    </w:p>
    <w:p w14:paraId="54B548F0" w14:textId="77777777" w:rsidR="00362517" w:rsidRDefault="00FD3428">
      <w:pPr>
        <w:widowControl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>
        <w:rPr>
          <w:rFonts w:ascii="Times New Roman" w:hAnsi="Times New Roman" w:cs="Times New Roman"/>
          <w:kern w:val="0"/>
          <w:sz w:val="20"/>
          <w:szCs w:val="20"/>
          <w:u w:val="single"/>
        </w:rPr>
        <w:t>SL-U and SL-CA co-existence with SL-PRS transmission</w:t>
      </w:r>
    </w:p>
    <w:p w14:paraId="1B19EF93" w14:textId="77777777" w:rsidR="00FF66F5" w:rsidRDefault="00FF66F5" w:rsidP="00FF66F5">
      <w:pPr>
        <w:widowControl/>
        <w:spacing w:after="180"/>
        <w:rPr>
          <w:rFonts w:ascii="Arial" w:eastAsia="宋体" w:hAnsi="Arial" w:cs="Arial"/>
          <w:b/>
          <w:bCs/>
          <w:kern w:val="0"/>
          <w:sz w:val="20"/>
          <w:szCs w:val="20"/>
        </w:rPr>
      </w:pPr>
      <w:bookmarkStart w:id="14" w:name="_Hlk162362753"/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O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bservation 1: SL-PRS is designed on licensed band by RAN1, with no operation with shared spectrum channel access.</w:t>
      </w:r>
    </w:p>
    <w:p w14:paraId="4D0892F9" w14:textId="77777777" w:rsidR="00FF66F5" w:rsidRDefault="00FF66F5" w:rsidP="00FF66F5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1: SL-PRS transmission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with SL-U operation is NOT supported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</w:t>
      </w:r>
    </w:p>
    <w:p w14:paraId="5CFB399D" w14:textId="77777777" w:rsidR="00FF66F5" w:rsidRDefault="00FF66F5" w:rsidP="00FF66F5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lastRenderedPageBreak/>
        <w:t>Observation 3: RAN1 came to WA that SL-PRS transmission on multiple carriers can be supported in a TDM manner, but not to apply carrier aggregation scheme.</w:t>
      </w:r>
    </w:p>
    <w:p w14:paraId="2CDE301A" w14:textId="77777777" w:rsidR="00FF66F5" w:rsidRDefault="00FF66F5" w:rsidP="00FF66F5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2: Wait for RAN1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 xml:space="preserve">progress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on whether/how to define the support for combination of both SL-CA and SL-PRS.</w:t>
      </w:r>
    </w:p>
    <w:p w14:paraId="109772E7" w14:textId="77777777" w:rsidR="00362517" w:rsidRDefault="00FD3428">
      <w:pPr>
        <w:widowControl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>
        <w:rPr>
          <w:rFonts w:ascii="Times New Roman" w:hAnsi="Times New Roman" w:cs="Times New Roman"/>
          <w:kern w:val="0"/>
          <w:sz w:val="20"/>
          <w:szCs w:val="20"/>
          <w:u w:val="single"/>
        </w:rPr>
        <w:t>SL-U and SL-CA co-existence with A2X communication</w:t>
      </w:r>
    </w:p>
    <w:p w14:paraId="40DD11F7" w14:textId="73A80554" w:rsidR="00FF66F5" w:rsidRDefault="00FF66F5" w:rsidP="00FF66F5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Observation 4: A2X communication over PC5-U is transmitted in designated bands regulated for BRID/DAA use, which </w:t>
      </w:r>
      <w:r w:rsidR="00F33F0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can be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ensured by the upper layer service identifier to frequency mapping rules.</w:t>
      </w:r>
    </w:p>
    <w:p w14:paraId="7C06F942" w14:textId="5A1EAAFA" w:rsidR="00FF66F5" w:rsidRDefault="00FF66F5" w:rsidP="00FF66F5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Observation 5: T</w:t>
      </w:r>
      <w:r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here is no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such</w:t>
      </w:r>
      <w:r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 case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that</w:t>
      </w:r>
      <w:r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 A2X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communication </w:t>
      </w:r>
      <w:r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service </w:t>
      </w:r>
      <w:r w:rsidR="0028614C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is</w:t>
      </w:r>
      <w:r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 xml:space="preserve"> mapped into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</w:t>
      </w:r>
      <w:r w:rsidRPr="001F22C0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SL-U frequency carrier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in terms of service level.</w:t>
      </w:r>
    </w:p>
    <w:p w14:paraId="32955296" w14:textId="77777777" w:rsidR="00FF66F5" w:rsidRDefault="00FF66F5" w:rsidP="00FF66F5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roposal 3: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bCs/>
          <w:kern w:val="0"/>
          <w:sz w:val="20"/>
          <w:szCs w:val="20"/>
        </w:rPr>
        <w:t>A2X communication</w:t>
      </w:r>
      <w:r w:rsidRPr="003C6C0E">
        <w:rPr>
          <w:rFonts w:ascii="Arial" w:eastAsia="宋体" w:hAnsi="Arial" w:cs="Arial"/>
          <w:b/>
          <w:bCs/>
          <w:kern w:val="0"/>
          <w:sz w:val="20"/>
          <w:szCs w:val="20"/>
        </w:rPr>
        <w:t xml:space="preserve"> </w:t>
      </w:r>
      <w:r w:rsidRPr="003C6C0E">
        <w:rPr>
          <w:rFonts w:ascii="Arial" w:eastAsia="宋体" w:hAnsi="Arial" w:cs="Arial" w:hint="eastAsia"/>
          <w:b/>
          <w:bCs/>
          <w:kern w:val="0"/>
          <w:sz w:val="20"/>
          <w:szCs w:val="20"/>
        </w:rPr>
        <w:t>with SL-U operation is NOT supported</w:t>
      </w:r>
      <w:r w:rsidRPr="003C6C0E">
        <w:rPr>
          <w:rFonts w:ascii="Arial" w:eastAsia="宋体" w:hAnsi="Arial" w:cs="Arial"/>
          <w:b/>
          <w:bCs/>
          <w:kern w:val="0"/>
          <w:sz w:val="20"/>
          <w:szCs w:val="20"/>
        </w:rPr>
        <w:t>.</w:t>
      </w:r>
    </w:p>
    <w:p w14:paraId="258E16D7" w14:textId="77777777" w:rsidR="00FF66F5" w:rsidRDefault="00FF66F5" w:rsidP="00FF66F5">
      <w:pPr>
        <w:widowControl/>
        <w:spacing w:after="18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Observation 6: When the serving cell provides resource pool configurations for A2X services on several extended carriers, SL-CA for A2X communication is functional on condition that from A2X service can be mapped into these SL-CA carrier frequencies.</w:t>
      </w:r>
    </w:p>
    <w:p w14:paraId="570F017B" w14:textId="77777777" w:rsidR="00FF66F5" w:rsidRDefault="00FF66F5" w:rsidP="00FF66F5">
      <w:pPr>
        <w:widowControl/>
        <w:spacing w:after="180"/>
        <w:rPr>
          <w:rFonts w:ascii="Arial" w:eastAsia="宋体" w:hAnsi="Arial" w:cs="Arial"/>
          <w:b/>
          <w:bCs/>
          <w:kern w:val="0"/>
          <w:sz w:val="20"/>
          <w:szCs w:val="20"/>
        </w:rPr>
      </w:pPr>
      <w:r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4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From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RAN2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perspective,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 xml:space="preserve">it is feasible to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support SL-CA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 xml:space="preserve">operation for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A2X communication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to improve transmission performance e.g., throughput and reliability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. Send LS to SA2 on the necessity.</w:t>
      </w:r>
    </w:p>
    <w:p w14:paraId="661A1D15" w14:textId="77777777" w:rsidR="00362517" w:rsidRDefault="00FD3428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12DA96C8" w14:textId="77777777" w:rsidR="00362517" w:rsidRDefault="00FD3428">
      <w:pPr>
        <w:numPr>
          <w:ilvl w:val="0"/>
          <w:numId w:val="6"/>
        </w:numPr>
        <w:rPr>
          <w:rFonts w:ascii="Times New Roman" w:hAnsi="Times New Roman" w:cs="Times New Roman"/>
          <w:kern w:val="0"/>
          <w:sz w:val="20"/>
          <w:szCs w:val="20"/>
        </w:rPr>
      </w:pPr>
      <w:bookmarkStart w:id="15" w:name="_Ref162256215"/>
      <w:bookmarkEnd w:id="14"/>
      <w:r>
        <w:rPr>
          <w:rFonts w:ascii="Times New Roman" w:hAnsi="Times New Roman" w:cs="Times New Roman"/>
          <w:kern w:val="0"/>
          <w:sz w:val="20"/>
          <w:szCs w:val="20"/>
        </w:rPr>
        <w:t>R2-2401541</w:t>
      </w:r>
      <w:r>
        <w:rPr>
          <w:rFonts w:ascii="Times New Roman" w:hAnsi="Times New Roman" w:cs="Times New Roman"/>
          <w:kern w:val="0"/>
          <w:sz w:val="20"/>
          <w:szCs w:val="20"/>
        </w:rPr>
        <w:tab/>
        <w:t>Report from session on LTE V2X and NR SL</w:t>
      </w:r>
      <w:r>
        <w:rPr>
          <w:rFonts w:ascii="Times New Roman" w:hAnsi="Times New Roman" w:cs="Times New Roman"/>
          <w:kern w:val="0"/>
          <w:sz w:val="20"/>
          <w:szCs w:val="20"/>
        </w:rPr>
        <w:tab/>
        <w:t>Vice Chairman (Samsung)</w:t>
      </w:r>
      <w:bookmarkEnd w:id="15"/>
    </w:p>
    <w:p w14:paraId="66D73C90" w14:textId="77777777" w:rsidR="00362517" w:rsidRDefault="00FD3428">
      <w:pPr>
        <w:numPr>
          <w:ilvl w:val="0"/>
          <w:numId w:val="6"/>
        </w:numPr>
        <w:rPr>
          <w:rFonts w:ascii="Times New Roman" w:hAnsi="Times New Roman" w:cs="Times New Roman"/>
          <w:kern w:val="0"/>
          <w:sz w:val="20"/>
          <w:szCs w:val="20"/>
        </w:rPr>
      </w:pPr>
      <w:bookmarkStart w:id="16" w:name="_Ref162429757"/>
      <w:r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hAnsi="Times New Roman" w:cs="Times New Roman"/>
          <w:kern w:val="0"/>
          <w:sz w:val="20"/>
          <w:szCs w:val="20"/>
        </w:rPr>
        <w:t>S 38.300-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i00</w:t>
      </w:r>
      <w:r>
        <w:rPr>
          <w:rFonts w:ascii="Times New Roman" w:hAnsi="Times New Roman" w:cs="Times New Roman"/>
          <w:kern w:val="0"/>
          <w:sz w:val="20"/>
          <w:szCs w:val="20"/>
        </w:rPr>
        <w:tab/>
        <w:t>NR; NR and NG-RAN Overall Description</w:t>
      </w:r>
      <w:bookmarkEnd w:id="16"/>
    </w:p>
    <w:p w14:paraId="6A3B4C35" w14:textId="77777777" w:rsidR="00362517" w:rsidRDefault="00FD3428">
      <w:pPr>
        <w:numPr>
          <w:ilvl w:val="0"/>
          <w:numId w:val="6"/>
        </w:numPr>
        <w:rPr>
          <w:rFonts w:ascii="Times New Roman" w:hAnsi="Times New Roman" w:cs="Times New Roman"/>
          <w:kern w:val="0"/>
          <w:sz w:val="20"/>
          <w:szCs w:val="20"/>
        </w:rPr>
      </w:pPr>
      <w:bookmarkStart w:id="17" w:name="_Ref162429745"/>
      <w:r>
        <w:rPr>
          <w:rFonts w:ascii="Times New Roman" w:hAnsi="Times New Roman" w:cs="Times New Roman"/>
          <w:kern w:val="0"/>
          <w:sz w:val="20"/>
          <w:szCs w:val="20"/>
        </w:rPr>
        <w:t>RP-232670</w:t>
      </w:r>
      <w:r>
        <w:rPr>
          <w:rFonts w:ascii="Times New Roman" w:hAnsi="Times New Roman" w:cs="Times New Roman"/>
          <w:kern w:val="0"/>
          <w:sz w:val="20"/>
          <w:szCs w:val="20"/>
        </w:rPr>
        <w:tab/>
        <w:t xml:space="preserve">Revised WID on </w:t>
      </w:r>
      <w:bookmarkStart w:id="18" w:name="_Hlk162429725"/>
      <w:r>
        <w:rPr>
          <w:rFonts w:ascii="Times New Roman" w:hAnsi="Times New Roman" w:cs="Times New Roman"/>
          <w:kern w:val="0"/>
          <w:sz w:val="20"/>
          <w:szCs w:val="20"/>
        </w:rPr>
        <w:t>Expanded and Improved NR Positioning</w:t>
      </w:r>
      <w:bookmarkEnd w:id="17"/>
      <w:bookmarkEnd w:id="18"/>
    </w:p>
    <w:p w14:paraId="7FE77CAB" w14:textId="77777777" w:rsidR="00362517" w:rsidRDefault="00FD3428">
      <w:pPr>
        <w:numPr>
          <w:ilvl w:val="0"/>
          <w:numId w:val="6"/>
        </w:numPr>
        <w:rPr>
          <w:rFonts w:ascii="Times New Roman" w:hAnsi="Times New Roman" w:cs="Times New Roman"/>
          <w:kern w:val="0"/>
          <w:sz w:val="20"/>
          <w:szCs w:val="20"/>
        </w:rPr>
      </w:pPr>
      <w:bookmarkStart w:id="19" w:name="_Ref162431652"/>
      <w:r>
        <w:rPr>
          <w:rFonts w:ascii="Times New Roman" w:hAnsi="Times New Roman" w:cs="Times New Roman"/>
          <w:kern w:val="0"/>
          <w:sz w:val="20"/>
          <w:szCs w:val="20"/>
        </w:rPr>
        <w:t>Session notes for 8.3 Maintenance on Expanded and Improved NR Positioning</w:t>
      </w:r>
      <w:r>
        <w:rPr>
          <w:rFonts w:ascii="Times New Roman" w:hAnsi="Times New Roman" w:cs="Times New Roman"/>
          <w:kern w:val="0"/>
          <w:sz w:val="20"/>
          <w:szCs w:val="20"/>
        </w:rPr>
        <w:tab/>
        <w:t xml:space="preserve">RAN1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Ad-Hoc Chair (Huawei)</w:t>
      </w:r>
      <w:bookmarkEnd w:id="19"/>
    </w:p>
    <w:p w14:paraId="6EA6B024" w14:textId="77777777" w:rsidR="00362517" w:rsidRDefault="00FD3428">
      <w:pPr>
        <w:numPr>
          <w:ilvl w:val="0"/>
          <w:numId w:val="6"/>
        </w:numPr>
        <w:rPr>
          <w:rFonts w:ascii="Times New Roman" w:hAnsi="Times New Roman" w:cs="Times New Roman"/>
          <w:kern w:val="0"/>
          <w:sz w:val="20"/>
          <w:szCs w:val="20"/>
        </w:rPr>
      </w:pPr>
      <w:bookmarkStart w:id="20" w:name="_Ref162434438"/>
      <w:r>
        <w:rPr>
          <w:rFonts w:ascii="Times New Roman" w:hAnsi="Times New Roman" w:cs="Times New Roman"/>
          <w:kern w:val="0"/>
          <w:sz w:val="20"/>
          <w:szCs w:val="20"/>
        </w:rPr>
        <w:t>RP-230782</w:t>
      </w:r>
      <w:r>
        <w:rPr>
          <w:rFonts w:ascii="Times New Roman" w:hAnsi="Times New Roman" w:cs="Times New Roman"/>
          <w:kern w:val="0"/>
          <w:sz w:val="20"/>
          <w:szCs w:val="20"/>
        </w:rPr>
        <w:tab/>
        <w:t xml:space="preserve">Revised WID: </w:t>
      </w:r>
      <w:bookmarkStart w:id="21" w:name="_Hlk162434429"/>
      <w:r>
        <w:rPr>
          <w:rFonts w:ascii="Times New Roman" w:hAnsi="Times New Roman" w:cs="Times New Roman"/>
          <w:kern w:val="0"/>
          <w:sz w:val="20"/>
          <w:szCs w:val="20"/>
        </w:rPr>
        <w:t>NR Support for UAV (Uncrewed Aerial Vehicles)</w:t>
      </w:r>
      <w:bookmarkEnd w:id="20"/>
      <w:bookmarkEnd w:id="21"/>
    </w:p>
    <w:p w14:paraId="0BC05762" w14:textId="77777777" w:rsidR="00362517" w:rsidRDefault="00FD3428">
      <w:pPr>
        <w:numPr>
          <w:ilvl w:val="0"/>
          <w:numId w:val="6"/>
        </w:numPr>
        <w:rPr>
          <w:rFonts w:ascii="Times New Roman" w:hAnsi="Times New Roman" w:cs="Times New Roman"/>
          <w:kern w:val="0"/>
          <w:sz w:val="20"/>
          <w:szCs w:val="20"/>
        </w:rPr>
      </w:pPr>
      <w:bookmarkStart w:id="22" w:name="_Ref162443971"/>
      <w:r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hAnsi="Times New Roman" w:cs="Times New Roman"/>
          <w:kern w:val="0"/>
          <w:sz w:val="20"/>
          <w:szCs w:val="20"/>
        </w:rPr>
        <w:t>S 23.356-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i10</w:t>
      </w:r>
      <w:r>
        <w:rPr>
          <w:rFonts w:ascii="Times New Roman" w:hAnsi="Times New Roman" w:cs="Times New Roman"/>
          <w:kern w:val="0"/>
          <w:sz w:val="20"/>
          <w:szCs w:val="20"/>
        </w:rPr>
        <w:tab/>
        <w:t>Support of Uncrewed Aerial Systems (UAS) connectivity, identification and tracking</w:t>
      </w:r>
      <w:bookmarkEnd w:id="22"/>
    </w:p>
    <w:sectPr w:rsidR="00362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CED78" w14:textId="77777777" w:rsidR="00D05E66" w:rsidRDefault="00D05E66" w:rsidP="00856492">
      <w:r>
        <w:separator/>
      </w:r>
    </w:p>
  </w:endnote>
  <w:endnote w:type="continuationSeparator" w:id="0">
    <w:p w14:paraId="4641CF3A" w14:textId="77777777" w:rsidR="00D05E66" w:rsidRDefault="00D05E66" w:rsidP="0085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7B51A" w14:textId="77777777" w:rsidR="00D05E66" w:rsidRDefault="00D05E66" w:rsidP="00856492">
      <w:r>
        <w:separator/>
      </w:r>
    </w:p>
  </w:footnote>
  <w:footnote w:type="continuationSeparator" w:id="0">
    <w:p w14:paraId="2A11A5A1" w14:textId="77777777" w:rsidR="00D05E66" w:rsidRDefault="00D05E66" w:rsidP="0085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A544A"/>
    <w:multiLevelType w:val="singleLevel"/>
    <w:tmpl w:val="52CA544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66FC7"/>
    <w:multiLevelType w:val="multilevel"/>
    <w:tmpl w:val="5A066FC7"/>
    <w:lvl w:ilvl="0">
      <w:start w:val="2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1004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" w15:restartNumberingAfterBreak="0">
    <w:nsid w:val="7581155B"/>
    <w:multiLevelType w:val="multilevel"/>
    <w:tmpl w:val="7581155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strike w:val="0"/>
        <w:dstrike w:val="0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strike w:val="0"/>
        <w:dstrike w:val="0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strike w:val="0"/>
        <w:dstrike w:val="0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strike w:val="0"/>
        <w:dstrike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A16"/>
    <w:rsid w:val="00013252"/>
    <w:rsid w:val="0002157C"/>
    <w:rsid w:val="000420B7"/>
    <w:rsid w:val="000626FA"/>
    <w:rsid w:val="000B22FC"/>
    <w:rsid w:val="00101661"/>
    <w:rsid w:val="00146532"/>
    <w:rsid w:val="0017409D"/>
    <w:rsid w:val="001968C5"/>
    <w:rsid w:val="001F22C0"/>
    <w:rsid w:val="002132DB"/>
    <w:rsid w:val="002370E5"/>
    <w:rsid w:val="00240BE0"/>
    <w:rsid w:val="0026785A"/>
    <w:rsid w:val="0028614C"/>
    <w:rsid w:val="00341074"/>
    <w:rsid w:val="003555B2"/>
    <w:rsid w:val="00362517"/>
    <w:rsid w:val="003766D5"/>
    <w:rsid w:val="00380CB2"/>
    <w:rsid w:val="003934AA"/>
    <w:rsid w:val="003C6C0E"/>
    <w:rsid w:val="003E4BD8"/>
    <w:rsid w:val="00423590"/>
    <w:rsid w:val="004278F8"/>
    <w:rsid w:val="00456A6B"/>
    <w:rsid w:val="00465A67"/>
    <w:rsid w:val="00504F18"/>
    <w:rsid w:val="005056EC"/>
    <w:rsid w:val="0050612F"/>
    <w:rsid w:val="00524782"/>
    <w:rsid w:val="00526D2B"/>
    <w:rsid w:val="00547562"/>
    <w:rsid w:val="0059313D"/>
    <w:rsid w:val="0059469A"/>
    <w:rsid w:val="005D701A"/>
    <w:rsid w:val="005E4138"/>
    <w:rsid w:val="0062194B"/>
    <w:rsid w:val="00636512"/>
    <w:rsid w:val="00682DF9"/>
    <w:rsid w:val="006B1C35"/>
    <w:rsid w:val="00704608"/>
    <w:rsid w:val="00755EEC"/>
    <w:rsid w:val="00776FE5"/>
    <w:rsid w:val="007D4969"/>
    <w:rsid w:val="007E00FD"/>
    <w:rsid w:val="008356D1"/>
    <w:rsid w:val="008378E2"/>
    <w:rsid w:val="00855554"/>
    <w:rsid w:val="00856492"/>
    <w:rsid w:val="00886EA6"/>
    <w:rsid w:val="008D4581"/>
    <w:rsid w:val="00907FC1"/>
    <w:rsid w:val="00930A16"/>
    <w:rsid w:val="00945A3F"/>
    <w:rsid w:val="009703DA"/>
    <w:rsid w:val="009B1DF4"/>
    <w:rsid w:val="009D52D4"/>
    <w:rsid w:val="009E06D5"/>
    <w:rsid w:val="009E33B7"/>
    <w:rsid w:val="00A15CD1"/>
    <w:rsid w:val="00A15E90"/>
    <w:rsid w:val="00AD3765"/>
    <w:rsid w:val="00B3782B"/>
    <w:rsid w:val="00B564E7"/>
    <w:rsid w:val="00B73553"/>
    <w:rsid w:val="00B807A6"/>
    <w:rsid w:val="00B91195"/>
    <w:rsid w:val="00C200B2"/>
    <w:rsid w:val="00C355FE"/>
    <w:rsid w:val="00C7590D"/>
    <w:rsid w:val="00CA1E21"/>
    <w:rsid w:val="00D05E66"/>
    <w:rsid w:val="00D10974"/>
    <w:rsid w:val="00D40B9D"/>
    <w:rsid w:val="00D454CD"/>
    <w:rsid w:val="00D54069"/>
    <w:rsid w:val="00D80E3B"/>
    <w:rsid w:val="00DA036C"/>
    <w:rsid w:val="00DD6969"/>
    <w:rsid w:val="00DE48BD"/>
    <w:rsid w:val="00E01E4D"/>
    <w:rsid w:val="00E17D68"/>
    <w:rsid w:val="00E207BC"/>
    <w:rsid w:val="00E410B0"/>
    <w:rsid w:val="00EB5069"/>
    <w:rsid w:val="00EB6446"/>
    <w:rsid w:val="00F176FB"/>
    <w:rsid w:val="00F26BCE"/>
    <w:rsid w:val="00F33F05"/>
    <w:rsid w:val="00F45B29"/>
    <w:rsid w:val="00F80D09"/>
    <w:rsid w:val="00FB5033"/>
    <w:rsid w:val="00FD3428"/>
    <w:rsid w:val="00FE2657"/>
    <w:rsid w:val="00FF33D9"/>
    <w:rsid w:val="00FF66F5"/>
    <w:rsid w:val="01B96251"/>
    <w:rsid w:val="0D4A1A06"/>
    <w:rsid w:val="0F1A50D5"/>
    <w:rsid w:val="21602F03"/>
    <w:rsid w:val="26B467CA"/>
    <w:rsid w:val="2C253086"/>
    <w:rsid w:val="2DBD3802"/>
    <w:rsid w:val="30A7091F"/>
    <w:rsid w:val="33FE5842"/>
    <w:rsid w:val="38741B09"/>
    <w:rsid w:val="43111FE2"/>
    <w:rsid w:val="538B1CAB"/>
    <w:rsid w:val="70EF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884B0"/>
  <w15:docId w15:val="{F3D5AFA3-761D-417B-B72C-2991FA50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semiHidden/>
    <w:unhideWhenUsed/>
    <w:qFormat/>
    <w:pPr>
      <w:spacing w:before="180"/>
      <w:outlineLvl w:val="1"/>
    </w:pPr>
    <w:rPr>
      <w:sz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semiHidden/>
    <w:qFormat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8E2E840-DBA9-40BA-9BD7-8D12A4BD3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1454</Words>
  <Characters>8294</Characters>
  <Application>Microsoft Office Word</Application>
  <DocSecurity>0</DocSecurity>
  <Lines>69</Lines>
  <Paragraphs>19</Paragraphs>
  <ScaleCrop>false</ScaleCrop>
  <Company>vivo</Company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vivo(Yuan)</dc:creator>
  <cp:lastModifiedBy>vivo(Yuan)</cp:lastModifiedBy>
  <cp:revision>6</cp:revision>
  <dcterms:created xsi:type="dcterms:W3CDTF">2024-04-04T04:19:00Z</dcterms:created>
  <dcterms:modified xsi:type="dcterms:W3CDTF">2024-04-05T01:54:00Z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CB399BD014794FA3B85D95D463DAF678</vt:lpwstr>
  </property>
</Properties>
</file>